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A1F8A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</w:t>
      </w:r>
      <w:r w:rsidR="00FA1F8A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55755">
        <w:rPr>
          <w:rFonts w:ascii="Times New Roman" w:hAnsi="Times New Roman" w:cs="Times New Roman"/>
          <w:sz w:val="24"/>
          <w:szCs w:val="24"/>
          <w:lang w:val="pl-PL"/>
        </w:rPr>
        <w:t>49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</w:p>
    <w:p w:rsidR="004A5F7F" w:rsidRPr="00C83766" w:rsidRDefault="00455755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30.01.2019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D751F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robe</w:t>
      </w:r>
    </w:p>
    <w:p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Default="00D4313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>za nabavku Elektron.el tehničke potrebštine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45575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8</w:t>
      </w:r>
      <w:r w:rsidR="00330800"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="00D43133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A7525F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6F7866" w:rsidRDefault="006F7866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781558" w:rsidRDefault="00781558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lastRenderedPageBreak/>
        <w:t>Ispunjenost uslova dokazuje se dostavljanjem :Izjave o ispunjenosti uaslova datom pod punom moralnom materijalnom i krivičnom odgovornošću</w:t>
      </w:r>
    </w:p>
    <w:p w:rsidR="00B70BA7" w:rsidRPr="00C83766" w:rsidRDefault="00B70BA7" w:rsidP="00B70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tbl>
      <w:tblPr>
        <w:tblW w:w="9435" w:type="dxa"/>
        <w:tblInd w:w="-2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"/>
        <w:gridCol w:w="4156"/>
        <w:gridCol w:w="1619"/>
        <w:gridCol w:w="1324"/>
        <w:gridCol w:w="1529"/>
      </w:tblGrid>
      <w:tr w:rsidR="00B70BA7" w:rsidRPr="00B70BA7" w:rsidTr="00455755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R.B.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Opis predmeta nabavke,</w:t>
            </w:r>
          </w:p>
          <w:p w:rsidR="00B70BA7" w:rsidRPr="00B70BA7" w:rsidRDefault="00B70BA7" w:rsidP="00B70BA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odnosno dijela predmeta nabavke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Bitne karakteristike predmeta nabavke u pogledu kvaliteta, performansi i/ili dimenzija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Jedinica mjere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Količina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"/>
        <w:gridCol w:w="4200"/>
        <w:gridCol w:w="1120"/>
        <w:gridCol w:w="1460"/>
      </w:tblGrid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Anker vijak  12x140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Anker vijak  10x120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Anker vijak 16x200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Anker vijak 12x100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Anker PVC plus šaraf 10x140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500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6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Brava 40 mm jezičak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7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Bravica za met.ormarić fi 19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30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8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Brus za metal 115x1x22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9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Brus za metal 230x1.9x22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Cilindar 61mm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40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Cilindar kod.65mm 30/35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30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Četka za farbanje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Elektroda 2,5mm/300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Elektroda 3,25/300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40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15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Imbus vijak JUS 12x80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40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16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Izolir traka(raznih dimenzija)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30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17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K+D lepak i diht masa bela 310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18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Korund papir P100/61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19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Krep traka 38x50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Kvaka aluminijumska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Lanac 7,5mm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Mali štit oko cilindra bronzani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Mali štit oko kvake bronzani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Mašinski imbus M6x25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25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Mašinski vijak M12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26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Mašinski vijak M6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27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Matica M6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28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 xml:space="preserve"> Matica M12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29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Gradjevinska folija PVC 4 m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30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Nož za skalpel 18 mm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31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Nitro lak plavi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lastRenderedPageBreak/>
              <w:t>32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Nitro lak žuti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33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Nitro lak narandžasti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34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Nitro osnovna siva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35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Nitro razredjivač 1/1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lit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36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Obostrano lepljiva traka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37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Sajla 4 mm rosfraj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15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38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Omča za sajlu pocinčana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6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39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Pop nitna 4x14 al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1000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40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Prsluk žuti fluo reflektujući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30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41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Samorezac DIN7504P 4,8x50 U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42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Samorezac DIN7504P 3,9x19 R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43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Samorezac DIN7504P 3,9X19 U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44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Samorezac (ključ 8)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45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Samorezac (ključ 10)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46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Silikon transparentni 280 ml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47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Skalpel 18mm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48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Sprej fluorescentni 400ml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49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Sprej profi mat crni 400ml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 xml:space="preserve">Šarka bravarska 120mm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Široka podloška M6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1000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Radijator uljani 11 rebara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Dihtung traka P-profil 9 mmx5,5x6m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Univerzalni sprej 200 ml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</w:t>
            </w:r>
          </w:p>
        </w:tc>
      </w:tr>
      <w:tr w:rsidR="00455755" w:rsidTr="00455755">
        <w:trPr>
          <w:trHeight w:val="4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55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Traka za obeležavanje crveno-bela 200m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56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Katanac 50 mm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30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57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Grlo E-27 porculansko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58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Grlo E-27 bakelitno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59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Kabal PGP 3x1,5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60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Kabal PGP 3x2,5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500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61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Kabal PGP 5x2,5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62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Kabal PGP 5x4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63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Kabal PPL 3x2,5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64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Kabal PPL 3x1,5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65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Kabal PPL 4x0,75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66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Kabal PPL 2x0,75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67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Kabal FTP CAT 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500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68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Okiten fi 32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69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OG razvodna kutija 150x110x70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70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OG utičnica II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30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71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Provodnik S/F 2,5 silikonski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lastRenderedPageBreak/>
              <w:t>72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PVC kanalica 25x16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40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73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Rebrasto crijevo i (fi 16)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300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74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Redna klema 14 mm 20A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75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Šina za aut.osigurače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76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 xml:space="preserve">Šuko utikač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77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Metalhalogena sijalica 400w 230V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78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Sijalica kompakt fluo 26W/840/2P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79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Sijalica A60 E27 75W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80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Sijalica metalhalogena 150W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81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T razvodnik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82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Produžni kabal 3m/8+P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83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Produžni kabal 3m/3+P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84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Spojnica fi 19x114mm za alu vrata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85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Buksna ženska1,25-187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86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Fid sklopka 40A/500Ma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87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Plastična vezica 4,8x280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88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Plastična vezica 4,8x432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89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Spratna tabla za osigurače sa 8 mjesta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90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Jednopolna instalaciona sklopka 10A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30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91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Automatski osigurači (16-32A)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30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92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LED reflektor 400 W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</w:t>
            </w:r>
          </w:p>
        </w:tc>
      </w:tr>
      <w:tr w:rsidR="00455755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93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Multimer duspol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</w:t>
            </w:r>
          </w:p>
        </w:tc>
      </w:tr>
      <w:tr w:rsidR="00455755" w:rsidTr="00455755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94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Kanalica 16x16 samolepljiva 200m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30</w:t>
            </w:r>
          </w:p>
        </w:tc>
      </w:tr>
    </w:tbl>
    <w:p w:rsidR="00455755" w:rsidRDefault="00455755" w:rsidP="00455755">
      <w:pPr>
        <w:rPr>
          <w:lang w:val="en-US"/>
        </w:rPr>
      </w:pPr>
    </w:p>
    <w:p w:rsidR="00455755" w:rsidRDefault="00455755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FC3A4F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Ponuđena cijena podrazumijeva uračunate troškove dostave robe na adresu Naručioca. </w:t>
      </w:r>
    </w:p>
    <w:p w:rsidR="00FC3A4F" w:rsidRPr="00FC3A4F" w:rsidRDefault="00FC3A4F" w:rsidP="00FC3A4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C3A4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Date količine u tehničkoj specifikaciji su okvirne. Naručilac zadržava pravo da poveća ili smanji pretpostavljene količine robe, u okviru ugovorene vrijednosti, shodno svojim potrebama, bez promjene jediničnih cijena za ponuđenu robu, kao i bez promjene drugih uslova iz ugovora sa izabranim Ponuđačem. </w:t>
      </w:r>
      <w:r w:rsidRPr="00FC3A4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Ponuđač je obavezan da na zahtjev Naručioca dostavi i drugu robu koja eventualno nijesu obuhvaćeni ovom ponudom prema zvaničnom cjenovniku ;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 Isporuka se vrši sukcesivno,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dinamika - max 2 (dva) radna dana od dana dostavljanja zahtjeva za isporuku robe.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Nabavke se vrše sukcesivno, prema potrebama Naručioca jedna godina od dana potpisivanja ugovora odnosno do isteka predviđenih stedstava .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iCs/>
          <w:kern w:val="3"/>
          <w:sz w:val="24"/>
          <w:szCs w:val="24"/>
          <w:lang w:eastAsia="sr-Latn-ME"/>
        </w:rPr>
      </w:pPr>
    </w:p>
    <w:p w:rsidR="00455755" w:rsidRDefault="00455755" w:rsidP="00F27D6D">
      <w:pP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FA1F8A" w:rsidRDefault="00FA1F8A" w:rsidP="00F27D6D">
      <w:pP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4A5F7F" w:rsidRPr="00C83766" w:rsidRDefault="00E30D64" w:rsidP="00F27D6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A5F7F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</w:t>
      </w:r>
      <w:r w:rsidR="006F786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ruke robe ne može biti duži od 2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  <w:p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4A5F7F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C0A29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45575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05.02.2019godine   do 09,30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4A5F7F" w:rsidRPr="00D76E3D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455755">
        <w:rPr>
          <w:rFonts w:cs="Times New Roman"/>
        </w:rPr>
        <w:t>05.02.2019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6F7866">
        <w:rPr>
          <w:rFonts w:cs="Times New Roman"/>
        </w:rPr>
        <w:t>10</w:t>
      </w:r>
      <w:r w:rsidR="00455755">
        <w:rPr>
          <w:rFonts w:cs="Times New Roman"/>
        </w:rPr>
        <w:t>:30</w:t>
      </w:r>
      <w:r w:rsidR="006F7866">
        <w:rPr>
          <w:rFonts w:cs="Times New Roman"/>
        </w:rPr>
        <w:t>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FA1F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9D23DC" w:rsidRDefault="009D23DC"/>
    <w:p w:rsidR="004369E3" w:rsidRDefault="004369E3"/>
    <w:p w:rsidR="004369E3" w:rsidRDefault="004369E3"/>
    <w:p w:rsidR="004369E3" w:rsidRDefault="004369E3"/>
    <w:p w:rsidR="004369E3" w:rsidRDefault="004369E3"/>
    <w:p w:rsidR="00FA1F8A" w:rsidRDefault="00FA1F8A"/>
    <w:p w:rsidR="00FA1F8A" w:rsidRDefault="00FA1F8A"/>
    <w:p w:rsidR="00FA1F8A" w:rsidRDefault="00FA1F8A"/>
    <w:p w:rsidR="00FA1F8A" w:rsidRDefault="00FA1F8A"/>
    <w:p w:rsidR="004369E3" w:rsidRDefault="004369E3"/>
    <w:p w:rsidR="00A87A97" w:rsidRDefault="00A87A97">
      <w:pPr>
        <w:rPr>
          <w:i/>
        </w:rPr>
      </w:pPr>
      <w:r>
        <w:rPr>
          <w:i/>
        </w:rPr>
        <w:lastRenderedPageBreak/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55755" w:rsidRDefault="00455755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455755" w:rsidRDefault="00455755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55755" w:rsidRDefault="00455755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455755" w:rsidRDefault="00455755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A1F8A" w:rsidRDefault="00FA1F8A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FA1F8A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 Zahtjevu broj 49 od 30.01.2019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6F45A8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nabavku </w:t>
      </w:r>
      <w:r w:rsidR="004E043D">
        <w:rPr>
          <w:rFonts w:ascii="Times New Roman" w:hAnsi="Times New Roman" w:cs="Times New Roman"/>
          <w:b/>
          <w:sz w:val="24"/>
          <w:szCs w:val="24"/>
          <w:lang w:val="en-US"/>
        </w:rPr>
        <w:t>elektroničkih el .tehničkih potrebština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A1F8A" w:rsidRDefault="00FA1F8A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A1F8A" w:rsidRDefault="00FA1F8A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0" w:name="__RefHeading___Toc418845168"/>
      <w:bookmarkEnd w:id="0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AD13D0" w:rsidRDefault="00843713" w:rsidP="00AD13D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  <w:sz w:val="24"/>
          <w:szCs w:val="24"/>
          <w:lang w:eastAsia="hi-IN" w:bidi="hi-IN"/>
        </w:rPr>
      </w:pPr>
      <w:r w:rsidRPr="00843713">
        <w:rPr>
          <w:lang w:eastAsia="hi-IN" w:bidi="hi-IN"/>
        </w:rPr>
        <w:lastRenderedPageBreak/>
        <w:tab/>
      </w:r>
      <w:r w:rsidR="00AD13D0"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  <w:sz w:val="24"/>
          <w:szCs w:val="24"/>
          <w:lang w:eastAsia="hi-IN" w:bidi="hi-IN"/>
        </w:rPr>
        <w:t>NACT UGOVORA O JAVNOJ NABAVCI</w:t>
      </w:r>
    </w:p>
    <w:p w:rsidR="00AD13D0" w:rsidRDefault="00AD13D0" w:rsidP="00AD13D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  <w:sz w:val="24"/>
          <w:szCs w:val="24"/>
          <w:lang w:eastAsia="hi-IN" w:bidi="hi-IN"/>
        </w:rPr>
      </w:pPr>
    </w:p>
    <w:p w:rsidR="00AD13D0" w:rsidRDefault="00AD13D0" w:rsidP="00AD13D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sr-Latn-CS" w:eastAsia="hi-I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Ovaj ugovor zaključen je  između:</w:t>
      </w:r>
    </w:p>
    <w:p w:rsidR="00AD13D0" w:rsidRDefault="00AD13D0" w:rsidP="00AD13D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sr-Latn-CS" w:eastAsia="hi-IN" w:bidi="hi-IN"/>
        </w:rPr>
      </w:pPr>
    </w:p>
    <w:p w:rsidR="00AD13D0" w:rsidRDefault="00AD13D0" w:rsidP="00AD13D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val="sr-Latn-CS" w:eastAsia="hi-IN" w:bidi="hi-IN"/>
        </w:rPr>
      </w:pPr>
    </w:p>
    <w:p w:rsidR="00AD13D0" w:rsidRDefault="00AD13D0" w:rsidP="00AD13D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1.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DOO “PARKING SERVIS BUDVA”BUDVA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ul. Mediteranska  bb ,(PIB 02382784 ) br.računa 510-19230-65 CKB Banka koga zastupa i predstavlja   izvršni direktor Jovan Gregović       (u daljem tekstu Naručilac ) </w:t>
      </w:r>
    </w:p>
    <w:p w:rsidR="00AD13D0" w:rsidRDefault="00AD13D0" w:rsidP="00AD13D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color w:val="000000"/>
          <w:kern w:val="2"/>
          <w:sz w:val="24"/>
          <w:szCs w:val="24"/>
          <w:lang w:val="en-US" w:eastAsia="ar-SA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i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br/>
      </w:r>
      <w:r>
        <w:rPr>
          <w:rFonts w:ascii="Times New Roman" w:eastAsia="SimSun" w:hAnsi="Times New Roman" w:cs="Mangal"/>
          <w:kern w:val="2"/>
          <w:sz w:val="24"/>
          <w:szCs w:val="24"/>
          <w:lang w:val="en-US" w:eastAsia="ar-SA"/>
        </w:rPr>
        <w:t>2</w:t>
      </w:r>
      <w:r>
        <w:rPr>
          <w:rFonts w:ascii="Times New Roman" w:eastAsia="SimSun" w:hAnsi="Times New Roman" w:cs="Mangal"/>
          <w:b/>
          <w:bCs/>
          <w:kern w:val="2"/>
          <w:sz w:val="24"/>
          <w:szCs w:val="24"/>
          <w:lang w:val="en-US" w:eastAsia="ar-SA"/>
        </w:rPr>
        <w:t>.</w:t>
      </w: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en-US" w:eastAsia="ar-SA"/>
        </w:rPr>
        <w:t>Ponuđača ………. Doo Podgorica  sa sjedištem u Podgorici, ulica ……….., Broj računa: ………, Naziv banke:CKB,  koga zastupa , ………….(u daljem tekstu: Dobavljač/Izvodjač/Izvršilac).</w:t>
      </w:r>
    </w:p>
    <w:p w:rsidR="00AD13D0" w:rsidRDefault="00AD13D0" w:rsidP="00AD13D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color w:val="000000"/>
          <w:kern w:val="2"/>
          <w:sz w:val="24"/>
          <w:szCs w:val="24"/>
          <w:lang w:val="en-US" w:eastAsia="ar-SA"/>
        </w:rPr>
        <w:t>zaključuju</w:t>
      </w:r>
      <w:r>
        <w:rPr>
          <w:rFonts w:ascii="Times New Roman" w:eastAsia="SimSun" w:hAnsi="Times New Roman" w:cs="Mangal"/>
          <w:kern w:val="2"/>
          <w:sz w:val="24"/>
          <w:szCs w:val="24"/>
          <w:lang w:val="en-US" w:eastAsia="ar-SA"/>
        </w:rPr>
        <w:br/>
      </w:r>
      <w:bookmarkStart w:id="1" w:name="_GoBack"/>
      <w:bookmarkEnd w:id="1"/>
    </w:p>
    <w:p w:rsidR="00AD13D0" w:rsidRDefault="00AD13D0" w:rsidP="00AD13D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AD13D0" w:rsidRDefault="00AD13D0" w:rsidP="00AD13D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val="sr-Latn-CS" w:eastAsia="ar-SA"/>
        </w:rPr>
        <w:t xml:space="preserve">                                               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val="sr-Latn-CS" w:eastAsia="hi-IN" w:bidi="hi-IN"/>
        </w:rPr>
        <w:t xml:space="preserve">OSNOV  </w:t>
      </w:r>
      <w:r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val="it-IT" w:eastAsia="hi-IN" w:bidi="hi-IN"/>
        </w:rPr>
        <w:t>UGOVORA</w:t>
      </w:r>
    </w:p>
    <w:p w:rsidR="00AD13D0" w:rsidRDefault="00AD13D0" w:rsidP="00AD13D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                                                            Član 1.</w:t>
      </w:r>
    </w:p>
    <w:p w:rsidR="00AD13D0" w:rsidRDefault="00AD13D0" w:rsidP="00AD13D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AD13D0" w:rsidRDefault="00AD13D0" w:rsidP="00AD13D0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Dobavljač se obavezuje da za potrebe</w:t>
      </w:r>
      <w:r w:rsidR="00E770C2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Naručioca nabavi i  </w:t>
      </w:r>
      <w:r w:rsidR="00E770C2" w:rsidRPr="00E770C2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>isporuci  Elektroničke i el.tehničke potrebštin</w:t>
      </w:r>
      <w:r w:rsidR="00E770C2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e</w:t>
      </w:r>
      <w:r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, prema  specifikaciji i  usvojenoj ponudi broj..............godine , koja čini sastavni dio ovog ugovora.</w:t>
      </w:r>
    </w:p>
    <w:p w:rsidR="00AD13D0" w:rsidRDefault="00AD13D0" w:rsidP="00AD13D0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Navedene količine u specifikaciji su orijentacione</w:t>
      </w:r>
    </w:p>
    <w:p w:rsidR="00AD13D0" w:rsidRDefault="00AD13D0" w:rsidP="00AD13D0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2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Cijena ugovorene robe po specifikaciji ostaje nepromijenjena, saglasno ponudi. </w:t>
      </w:r>
    </w:p>
    <w:p w:rsidR="00AD13D0" w:rsidRDefault="00AD13D0" w:rsidP="00AD13D0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2"/>
          <w:sz w:val="24"/>
          <w:szCs w:val="24"/>
          <w:lang w:val="sl-SI" w:eastAsia="hi-IN" w:bidi="hi-IN"/>
        </w:rPr>
      </w:pPr>
    </w:p>
    <w:p w:rsidR="00AD13D0" w:rsidRDefault="00AD13D0" w:rsidP="00AD13D0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val="sl-SI" w:eastAsia="hi-IN" w:bidi="hi-IN"/>
        </w:rPr>
        <w:t xml:space="preserve">Ipsoruka se vrši sukcesivno za vrijeme važenja ugovora, odnosno do utroška predviđenih sredstava prema narudžbi Naručioca.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sl-SI" w:eastAsia="hi-IN" w:bidi="hi-IN"/>
        </w:rPr>
        <w:t>Ponuđač je obavezan da na zahtjev Naručioca dostavi i drugu robu  koja nije obuhvaćena  specifikacijom prema zvaničnom cjenovniku ;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 </w:t>
      </w:r>
    </w:p>
    <w:p w:rsidR="00AD13D0" w:rsidRDefault="00AD13D0" w:rsidP="00AD13D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Član 2.</w:t>
      </w:r>
    </w:p>
    <w:p w:rsidR="00AD13D0" w:rsidRDefault="00AD13D0" w:rsidP="00AD13D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AD13D0" w:rsidRDefault="00AD13D0" w:rsidP="00AD13D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Ukupan iznos ugovorenog posla iz člana 1. ovog ugovora  iznosi........</w:t>
      </w:r>
      <w:r>
        <w:rPr>
          <w:rFonts w:ascii="Times New Roman" w:eastAsia="SimSun" w:hAnsi="Times New Roman" w:cs="Mangal"/>
          <w:b/>
          <w:kern w:val="2"/>
          <w:sz w:val="24"/>
          <w:szCs w:val="24"/>
          <w:lang w:val="sv-SE" w:eastAsia="hi-IN" w:bidi="hi-IN"/>
        </w:rPr>
        <w:t xml:space="preserve"> eura</w:t>
      </w:r>
      <w:r>
        <w:rPr>
          <w:rFonts w:ascii="Times New Roman" w:eastAsia="SimSun" w:hAnsi="Times New Roman" w:cs="Mangal"/>
          <w:kern w:val="2"/>
          <w:sz w:val="24"/>
          <w:szCs w:val="24"/>
          <w:lang w:val="sv-SE" w:eastAsia="hi-IN" w:bidi="hi-IN"/>
        </w:rPr>
        <w:t xml:space="preserve">  sa uračunatim PDV-om.                                                              </w:t>
      </w:r>
    </w:p>
    <w:p w:rsidR="00AD13D0" w:rsidRDefault="00AD13D0" w:rsidP="00AD13D0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Član 3.</w:t>
      </w:r>
    </w:p>
    <w:p w:rsidR="00AD13D0" w:rsidRDefault="00AD13D0" w:rsidP="00AD13D0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Ugovor se zaključuje najduze  na jednu godinu odnosno do isteka  ugovorenih sredstava .</w:t>
      </w:r>
    </w:p>
    <w:p w:rsidR="00AD13D0" w:rsidRDefault="00AD13D0" w:rsidP="00AD13D0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                                                                             Član 4.</w:t>
      </w:r>
    </w:p>
    <w:p w:rsidR="00AD13D0" w:rsidRDefault="00AD13D0" w:rsidP="00AD13D0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br/>
        <w:t>Naručilac se obavezuje da saglasno specifikaciji i potrebi   u cjelosti isporuči dobavljaču navedenu robu i istu montira na adresi Naručioca.</w:t>
      </w:r>
    </w:p>
    <w:p w:rsidR="00AD13D0" w:rsidRDefault="00AD13D0" w:rsidP="00AD13D0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                                                                              Član 5.</w:t>
      </w:r>
    </w:p>
    <w:p w:rsidR="00AD13D0" w:rsidRDefault="00AD13D0" w:rsidP="00AD13D0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br/>
        <w:t>Dobavljač se obavezuje da saglasno narudžbi iz člana 4. ovog ugovora, izvrši isporuku u roku od dva radna dana  od prijema narudžbe i dostavi račun za isporučenu robu.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br/>
        <w:t>Mjesto isporuke je poslovna zgrada Naručioca, Budva, Mediteranska  bb zgrada TQ PLAZA</w:t>
      </w:r>
    </w:p>
    <w:p w:rsidR="00AD13D0" w:rsidRDefault="00AD13D0" w:rsidP="00AD13D0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Uz isporučenu robu Dobavljač je dužan dostaviti Naručiocu Otpremnicu potpisanu od ovlašćenog lica, na osnovu koje će, nakon ovjere od strane Naručioca, ispostaviti fakturu po cijenama kao u ponudi.</w:t>
      </w:r>
    </w:p>
    <w:p w:rsidR="00AD13D0" w:rsidRDefault="00AD13D0" w:rsidP="00AD13D0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lastRenderedPageBreak/>
        <w:t> 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ab/>
      </w:r>
    </w:p>
    <w:p w:rsidR="00AD13D0" w:rsidRDefault="00AD13D0" w:rsidP="00AD13D0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                                                                      Član 6.</w:t>
      </w:r>
    </w:p>
    <w:p w:rsidR="00AD13D0" w:rsidRDefault="00AD13D0" w:rsidP="00AD13D0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Ako se prilikom primopredaje utvrdi da </w:t>
      </w: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val="sl-SI" w:eastAsia="hi-IN" w:bidi="hi-IN"/>
        </w:rPr>
        <w:t>predmetne  robe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koje je Dobavljač isporučio Naručiocu ima nedostatke u kvalitetu i količini, Dobavljač se obavezuje da iste odmah otkloni o svom trošku.  </w:t>
      </w: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 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 </w:t>
      </w:r>
    </w:p>
    <w:p w:rsidR="00AD13D0" w:rsidRDefault="00AD13D0" w:rsidP="00AD13D0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Član 7.</w:t>
      </w:r>
    </w:p>
    <w:p w:rsidR="00AD13D0" w:rsidRDefault="00AD13D0" w:rsidP="00AD13D0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U slučaju prekoračenja roka utvrdjenog u članu 5. stav 1. ovog Ugovora, Dobavljač je obavezan platiti Naručiocu kaznu u iznosu od 0.1% od ukupno ugovorene cijene za svaki dan neopravdanog zakašnjenja, s tim što visina utvrđene kazne ne može biti veća od  10% ukupno ugovorene cijene ugovora.</w:t>
      </w:r>
    </w:p>
    <w:p w:rsidR="00AD13D0" w:rsidRDefault="00AD13D0" w:rsidP="00AD13D0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 Odredba predhodnog stava ovog člana se ne primjenjuju ako je zakašnjenje u isporuci prouzrokovano neblagovremenim preuzimanjem robe od strane Naručioca i u slučaju nemogućnosti ispunjenja pojedinačne narudžbe u skladu sa Zakonom o obligacionim odnosima.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br/>
        <w:t>                                                                            Član 8.</w:t>
      </w:r>
    </w:p>
    <w:p w:rsidR="00AD13D0" w:rsidRDefault="00AD13D0" w:rsidP="00AD13D0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2"/>
          <w:sz w:val="24"/>
          <w:szCs w:val="24"/>
          <w:lang w:val="sv-SE"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br/>
        <w:t>Naručilac se obavezuje da iznos prema svakom dostavljenom  pojedinačnom predračunu  uplati na žiro račun Dobavljača .</w:t>
      </w:r>
      <w:r>
        <w:rPr>
          <w:rFonts w:ascii="Times New Roman" w:eastAsia="SimSun" w:hAnsi="Times New Roman" w:cs="Mangal"/>
          <w:kern w:val="2"/>
          <w:sz w:val="24"/>
          <w:szCs w:val="24"/>
          <w:lang w:val="sv-SE" w:eastAsia="hi-IN" w:bidi="hi-IN"/>
        </w:rPr>
        <w:t xml:space="preserve"> </w:t>
      </w:r>
    </w:p>
    <w:p w:rsidR="00AD13D0" w:rsidRDefault="00AD13D0" w:rsidP="00AD13D0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                                                                           Član9.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br/>
        <w:t xml:space="preserve">Dobavljač garantuje naručiocu za kvalitet i količine isporučene robe, u protivnom Dobavljač se obavezuje da o svom trošku izvrši zamjenu istih i isporuči robu ugovorenog kvaliteta i količine.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br/>
        <w:t>                                                                          Član10.</w:t>
      </w:r>
    </w:p>
    <w:p w:rsidR="00AD13D0" w:rsidRDefault="00AD13D0" w:rsidP="00AD13D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Ugovor o javnoj nabavci koji je zaključen uz kršenje antikorupcijskog pravila u skldu sa odrdbama člana 15 ZJN (“Sl.Crne Gore”,br,42/11, 57/14) ništav je.</w:t>
      </w:r>
    </w:p>
    <w:p w:rsidR="00AD13D0" w:rsidRDefault="00AD13D0" w:rsidP="00AD13D0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br/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ab/>
        <w:t xml:space="preserve">  Član 11.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br/>
        <w:t>Sve eventualne sporove koji nastanu iz, ili povodom, ovog ugovora – ugovorne strane će pokušati da riješe sporazumno.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br/>
        <w:t>Ukoliko sporovi između naručioca i dobavljača ne budu riješeni sporazumno, nadležan je Privredni sud u Podgorici.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br/>
        <w:t> Za sve što nije regulisano odredbama ovog ugovora, primjeniće se odredbe Zakona o obligacionim odnosima koje se odnose na ugovor o kupoprodaji.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br/>
        <w:t>Ovaj ugovor je sačinjen u četiri primjerka istovjetnog teksta od kojih Dobavljač zadržava jedan primjerak, a Naručilac tri primjerka.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br/>
        <w:t>Ugovorne strane saglasno izjavljuju da su ugovor pročitale, razumjele i da ugovorene odredbe u svemu predstavljaju izraz njihove stvarne volje.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br/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br/>
        <w:t>             Naručilac,                                                                                          Dobavljač,</w:t>
      </w:r>
    </w:p>
    <w:p w:rsidR="00AD13D0" w:rsidRDefault="00AD13D0" w:rsidP="00AD13D0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            Izvršni  Direktor,                                                                                   Direktor, </w:t>
      </w:r>
    </w:p>
    <w:p w:rsidR="00AD13D0" w:rsidRDefault="00AD13D0" w:rsidP="00AD13D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 </w:t>
      </w:r>
    </w:p>
    <w:p w:rsidR="00AD13D0" w:rsidRDefault="00AD13D0" w:rsidP="00AD13D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AD13D0" w:rsidRDefault="00AD13D0" w:rsidP="00AD13D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AD13D0" w:rsidRDefault="00AD13D0" w:rsidP="00AD13D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sr-Latn-CS" w:eastAsia="hi-IN" w:bidi="hi-IN"/>
        </w:rPr>
      </w:pPr>
    </w:p>
    <w:p w:rsidR="00AD13D0" w:rsidRDefault="00AD13D0" w:rsidP="00AD13D0">
      <w:pPr>
        <w:keepNext/>
        <w:widowControl w:val="0"/>
        <w:tabs>
          <w:tab w:val="num" w:pos="0"/>
        </w:tabs>
        <w:suppressAutoHyphens/>
        <w:spacing w:after="0" w:line="240" w:lineRule="auto"/>
        <w:ind w:left="1134" w:right="1134"/>
        <w:jc w:val="center"/>
        <w:outlineLvl w:val="4"/>
        <w:rPr>
          <w:rFonts w:ascii="Times New Roman" w:eastAsia="SimSun" w:hAnsi="Times New Roman" w:cs="Times New Roman"/>
          <w:b/>
          <w:kern w:val="2"/>
          <w:sz w:val="24"/>
          <w:szCs w:val="24"/>
          <w:lang w:val="sr-Latn-CS" w:eastAsia="hi-IN" w:bidi="hi-IN"/>
        </w:rPr>
      </w:pPr>
    </w:p>
    <w:p w:rsidR="00843713" w:rsidRPr="00843713" w:rsidRDefault="00AD13D0" w:rsidP="00AD13D0">
      <w:pPr>
        <w:widowControl w:val="0"/>
        <w:suppressAutoHyphens/>
        <w:spacing w:after="0" w:line="240" w:lineRule="auto"/>
        <w:rPr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  <w:sz w:val="24"/>
          <w:szCs w:val="24"/>
          <w:lang w:val="sr-Latn-CS" w:eastAsia="hi-IN" w:bidi="hi-IN"/>
        </w:rPr>
        <w:t xml:space="preserve">  </w:t>
      </w:r>
      <w:r w:rsidR="00843713" w:rsidRPr="00843713">
        <w:rPr>
          <w:lang w:eastAsia="hi-IN" w:bidi="hi-IN"/>
        </w:rPr>
        <w:tab/>
      </w:r>
      <w:r w:rsidR="00843713" w:rsidRPr="00843713">
        <w:rPr>
          <w:lang w:eastAsia="hi-IN" w:bidi="hi-IN"/>
        </w:rPr>
        <w:tab/>
      </w:r>
      <w:r w:rsidR="00843713" w:rsidRPr="00843713">
        <w:rPr>
          <w:lang w:eastAsia="hi-IN" w:bidi="hi-IN"/>
        </w:rPr>
        <w:tab/>
      </w:r>
      <w:r w:rsidR="00843713" w:rsidRPr="00843713">
        <w:rPr>
          <w:lang w:eastAsia="hi-IN" w:bidi="hi-IN"/>
        </w:rPr>
        <w:tab/>
      </w:r>
      <w:r w:rsidR="00843713" w:rsidRPr="00843713">
        <w:rPr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80B" w:rsidRDefault="006C380B" w:rsidP="00754F52">
      <w:pPr>
        <w:spacing w:after="0" w:line="240" w:lineRule="auto"/>
      </w:pPr>
      <w:r>
        <w:separator/>
      </w:r>
    </w:p>
  </w:endnote>
  <w:endnote w:type="continuationSeparator" w:id="0">
    <w:p w:rsidR="006C380B" w:rsidRDefault="006C380B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80B" w:rsidRDefault="006C380B" w:rsidP="00754F52">
      <w:pPr>
        <w:spacing w:after="0" w:line="240" w:lineRule="auto"/>
      </w:pPr>
      <w:r>
        <w:separator/>
      </w:r>
    </w:p>
  </w:footnote>
  <w:footnote w:type="continuationSeparator" w:id="0">
    <w:p w:rsidR="006C380B" w:rsidRDefault="006C380B" w:rsidP="00754F52">
      <w:pPr>
        <w:spacing w:after="0" w:line="240" w:lineRule="auto"/>
      </w:pPr>
      <w:r>
        <w:continuationSeparator/>
      </w:r>
    </w:p>
  </w:footnote>
  <w:footnote w:id="1">
    <w:p w:rsidR="00455755" w:rsidRDefault="00455755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455755" w:rsidRDefault="00455755" w:rsidP="00843713">
      <w:pPr>
        <w:pStyle w:val="FootnoteText"/>
        <w:rPr>
          <w:rFonts w:cs="Times New Roman"/>
        </w:rPr>
      </w:pPr>
    </w:p>
  </w:footnote>
  <w:footnote w:id="2">
    <w:p w:rsidR="00455755" w:rsidRDefault="00455755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455755" w:rsidRDefault="00455755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455755" w:rsidRDefault="00455755" w:rsidP="00843713">
      <w:pPr>
        <w:pStyle w:val="FootnoteText"/>
        <w:rPr>
          <w:rFonts w:cs="Times New Roman"/>
        </w:rPr>
      </w:pPr>
    </w:p>
  </w:footnote>
  <w:footnote w:id="4">
    <w:p w:rsidR="00455755" w:rsidRDefault="00455755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455755" w:rsidRDefault="00455755" w:rsidP="00843713">
      <w:pPr>
        <w:pStyle w:val="FootnoteText"/>
        <w:rPr>
          <w:rFonts w:cs="Times New Roman"/>
        </w:rPr>
      </w:pPr>
    </w:p>
  </w:footnote>
  <w:footnote w:id="5">
    <w:p w:rsidR="00455755" w:rsidRDefault="00455755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455755" w:rsidRDefault="00455755" w:rsidP="00843713">
      <w:pPr>
        <w:pStyle w:val="FootnoteText"/>
        <w:jc w:val="both"/>
        <w:rPr>
          <w:rFonts w:cs="Times New Roman"/>
        </w:rPr>
      </w:pPr>
    </w:p>
  </w:footnote>
  <w:footnote w:id="6">
    <w:p w:rsidR="00455755" w:rsidRDefault="00455755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A111A"/>
    <w:rsid w:val="000A3281"/>
    <w:rsid w:val="001D7D02"/>
    <w:rsid w:val="001E16BA"/>
    <w:rsid w:val="001F5B69"/>
    <w:rsid w:val="00230ED3"/>
    <w:rsid w:val="00276068"/>
    <w:rsid w:val="002872C9"/>
    <w:rsid w:val="0029241F"/>
    <w:rsid w:val="002B51B4"/>
    <w:rsid w:val="002C0A29"/>
    <w:rsid w:val="002F03CB"/>
    <w:rsid w:val="00330800"/>
    <w:rsid w:val="00331E0C"/>
    <w:rsid w:val="0034554D"/>
    <w:rsid w:val="00353190"/>
    <w:rsid w:val="0037316B"/>
    <w:rsid w:val="00395791"/>
    <w:rsid w:val="003A6F3E"/>
    <w:rsid w:val="003C58C1"/>
    <w:rsid w:val="004369E3"/>
    <w:rsid w:val="00446010"/>
    <w:rsid w:val="004543EB"/>
    <w:rsid w:val="00454FE0"/>
    <w:rsid w:val="00455755"/>
    <w:rsid w:val="00473B09"/>
    <w:rsid w:val="004A5F7F"/>
    <w:rsid w:val="004B3004"/>
    <w:rsid w:val="004D041A"/>
    <w:rsid w:val="004E043D"/>
    <w:rsid w:val="00537A5D"/>
    <w:rsid w:val="00573798"/>
    <w:rsid w:val="00583FE9"/>
    <w:rsid w:val="005848EF"/>
    <w:rsid w:val="00584D27"/>
    <w:rsid w:val="005C56D4"/>
    <w:rsid w:val="005F7DCE"/>
    <w:rsid w:val="00620A76"/>
    <w:rsid w:val="0064140E"/>
    <w:rsid w:val="00647540"/>
    <w:rsid w:val="00690A00"/>
    <w:rsid w:val="006B6ED4"/>
    <w:rsid w:val="006C380B"/>
    <w:rsid w:val="006C6B78"/>
    <w:rsid w:val="006E2873"/>
    <w:rsid w:val="006E2C47"/>
    <w:rsid w:val="006F45A8"/>
    <w:rsid w:val="006F7866"/>
    <w:rsid w:val="00722BAD"/>
    <w:rsid w:val="00754F52"/>
    <w:rsid w:val="00781558"/>
    <w:rsid w:val="007A7AF2"/>
    <w:rsid w:val="008303ED"/>
    <w:rsid w:val="00834BFD"/>
    <w:rsid w:val="00843713"/>
    <w:rsid w:val="00865AC0"/>
    <w:rsid w:val="008A0EF1"/>
    <w:rsid w:val="008C3533"/>
    <w:rsid w:val="008F0A70"/>
    <w:rsid w:val="00911AAD"/>
    <w:rsid w:val="009228A8"/>
    <w:rsid w:val="00932A91"/>
    <w:rsid w:val="00935F6F"/>
    <w:rsid w:val="00986C06"/>
    <w:rsid w:val="009A0C65"/>
    <w:rsid w:val="009B1819"/>
    <w:rsid w:val="009B30B9"/>
    <w:rsid w:val="009D23DC"/>
    <w:rsid w:val="00A03074"/>
    <w:rsid w:val="00A108F2"/>
    <w:rsid w:val="00A13825"/>
    <w:rsid w:val="00A413EA"/>
    <w:rsid w:val="00A5432F"/>
    <w:rsid w:val="00A57C76"/>
    <w:rsid w:val="00A7202D"/>
    <w:rsid w:val="00A7525F"/>
    <w:rsid w:val="00A87A97"/>
    <w:rsid w:val="00AA13EB"/>
    <w:rsid w:val="00AA2358"/>
    <w:rsid w:val="00AD04D6"/>
    <w:rsid w:val="00AD13D0"/>
    <w:rsid w:val="00B0636A"/>
    <w:rsid w:val="00B70BA7"/>
    <w:rsid w:val="00B8461B"/>
    <w:rsid w:val="00BF6FC4"/>
    <w:rsid w:val="00C44DAB"/>
    <w:rsid w:val="00C72F83"/>
    <w:rsid w:val="00C87829"/>
    <w:rsid w:val="00D35560"/>
    <w:rsid w:val="00D42E05"/>
    <w:rsid w:val="00D43133"/>
    <w:rsid w:val="00D52015"/>
    <w:rsid w:val="00D751F7"/>
    <w:rsid w:val="00D76E3D"/>
    <w:rsid w:val="00D8634E"/>
    <w:rsid w:val="00DA191E"/>
    <w:rsid w:val="00DA6E42"/>
    <w:rsid w:val="00DF7657"/>
    <w:rsid w:val="00E14AD8"/>
    <w:rsid w:val="00E15339"/>
    <w:rsid w:val="00E16722"/>
    <w:rsid w:val="00E30D64"/>
    <w:rsid w:val="00E31B91"/>
    <w:rsid w:val="00E37DEE"/>
    <w:rsid w:val="00E770C2"/>
    <w:rsid w:val="00EB4E3B"/>
    <w:rsid w:val="00EB4FCB"/>
    <w:rsid w:val="00EC31F5"/>
    <w:rsid w:val="00EF28C6"/>
    <w:rsid w:val="00EF6F78"/>
    <w:rsid w:val="00F27D6D"/>
    <w:rsid w:val="00F30B7F"/>
    <w:rsid w:val="00F40C1B"/>
    <w:rsid w:val="00F65B45"/>
    <w:rsid w:val="00F700B1"/>
    <w:rsid w:val="00F75124"/>
    <w:rsid w:val="00FA1F8A"/>
    <w:rsid w:val="00FB76A4"/>
    <w:rsid w:val="00FC3A4F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8EC6E-4528-4DB8-9B49-86D12FCD8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2680</Words>
  <Characters>15279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2017-12-01T11:04:00Z</cp:lastPrinted>
  <dcterms:created xsi:type="dcterms:W3CDTF">2019-01-30T12:47:00Z</dcterms:created>
  <dcterms:modified xsi:type="dcterms:W3CDTF">2019-01-30T12:50:00Z</dcterms:modified>
</cp:coreProperties>
</file>